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14="http://schemas.microsoft.com/office/word/2010/wordml" xmlns:mc="http://schemas.openxmlformats.org/markup-compatibility/2006" mc:Ignorable="w14">
  <w:body>
    <w:p>
      <w:pPr>
        <w:spacing w:before="0" w:after="40"/>
      </w:pPr>
      <w:r>
        <w:rPr>
          <w:b/>
          <w:color w:val="154360"/>
          <w:sz w:val="32"/>
          <w:szCs w:val="32"/>
        </w:rPr>
        <w:t xml:space="preserve">Compliance Checklist - Allowable Deductions</w:t>
      </w:r>
    </w:p>
    <w:p>
      <w:pPr>
        <w:spacing w:before="0" w:after="40"/>
      </w:pPr>
      <w:r>
        <w:rPr>
          <w:b/>
          <w:sz w:val="22"/>
          <w:szCs w:val="22"/>
        </w:rPr>
        <w:t xml:space="preserve">Head of income: Capital Gains (Sections 37, 37A, 38, 59 and 76)</w:t>
      </w:r>
    </w:p>
    <w:p>
      <w:pPr>
        <w:spacing w:before="0" w:after="200"/>
      </w:pPr>
      <w:r>
        <w:rPr>
          <w:i/>
          <w:color w:val="5B6B78"/>
          <w:sz w:val="18"/>
          <w:szCs w:val="18"/>
        </w:rPr>
        <w:t xml:space="preserve">Income Tax Ordinance, 2001 (amended up to 30 June 2026) and Income Tax Rules, 2002 (amended up to 15 September 2026)</w:t>
      </w:r>
    </w:p>
    <w:tbl>
      <w:tblPr>
        <w:tblW w:w="15398" w:type="dxa"/>
        <w:tblBorders>
          <w:insideH w:val="single" w:sz="4" w:color="B7C6D1"/>
          <w:bottom w:val="single" w:sz="4" w:color="B7C6D1"/>
          <w:top w:val="single" w:sz="4" w:color="B7C6D1"/>
        </w:tblBorders>
        <w:tblLayout w:type="fixed"/>
        <w:tblCellMar>
          <w:top w:w="60" w:type="dxa"/>
          <w:left w:w="100" w:type="dxa"/>
          <w:bottom w:w="60" w:type="dxa"/>
          <w:right w:w="100" w:type="dxa"/>
        </w:tblCellMar>
      </w:tblPr>
      <w:tblGrid>
        <w:gridCol w:w="2200"/>
        <w:gridCol w:w="5499"/>
        <w:gridCol w:w="2200"/>
        <w:gridCol w:w="5499"/>
      </w:tblGrid>
      <w:tr>
        <w:tc>
          <w:tcPr>
            <w:tcW w:w="2200" w:type="dxa"/>
            <w:shd w:val="clear" w:color="auto" w:fill="F5F8FA"/>
            <w:vAlign w:val="center"/>
          </w:tcPr>
          <w:p>
            <w:pPr>
              <w:spacing w:before="0" w:after="0"/>
            </w:pPr>
            <w:r>
              <w:rPr>
                <w:b/>
                <w:sz w:val="19"/>
                <w:szCs w:val="19"/>
              </w:rPr>
              <w:t xml:space="preserve">Taxpayer name</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NTN / CNIC</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Tax year</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Prepared by / date</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Reviewed by / date</w:t>
            </w:r>
          </w:p>
        </w:tc>
        <w:tc>
          <w:tcPr>
            <w:tcW w:w="5499" w:type="dxa"/>
            <w:shd w:val="clear" w:color="auto" w:fill="FFFDF0"/>
            <w:vAlign w:val="center"/>
          </w:tcPr>
          <w:p>
            <w:pPr>
              <w:spacing w:before="0" w:after="0"/>
            </w:pPr>
            <w:r>
              <w:rPr>
                <w:sz w:val="19"/>
                <w:szCs w:val="19"/>
              </w:rPr>
              <w:t xml:space="preserve"/>
            </w:r>
          </w:p>
        </w:tc>
      </w:tr>
    </w:tbl>
    <w:p>
      <w:pPr>
        <w:spacing w:before="0" w:after="80"/>
      </w:pPr>
      <w:r>
        <w:t xml:space="preserve"/>
      </w:r>
    </w:p>
    <w:p>
      <w:pPr>
        <w:spacing w:before="0" w:after="160"/>
      </w:pPr>
      <w:r>
        <w:rPr>
          <w:b/>
          <w:sz w:val="18"/>
          <w:szCs w:val="18"/>
        </w:rPr>
        <w:t xml:space="preserve">How to fill: </w:t>
      </w:r>
      <w:r>
        <w:rPr>
          <w:sz w:val="18"/>
          <w:szCs w:val="18"/>
        </w:rPr>
        <w:t xml:space="preserve">For each check point mark Yes (complied), No (not complied - claim at risk) or N/A (not applicable), and note the evidence reference. Any "No" should be resolved or the deduction reduced before filing the return.</w:t>
      </w:r>
    </w:p>
    <w:tbl>
      <w:tblPr>
        <w:tblW w:w="15398" w:type="dxa"/>
        <w:tblBorders>
          <w:top w:val="single" w:sz="4" w:color="B7C6D1"/>
          <w:left w:val="single" w:sz="4" w:color="B7C6D1"/>
          <w:bottom w:val="single" w:sz="4" w:color="B7C6D1"/>
          <w:right w:val="single" w:sz="4" w:color="B7C6D1"/>
          <w:insideH w:val="single" w:sz="4" w:color="B7C6D1"/>
          <w:insideV w:val="single" w:sz="4" w:color="B7C6D1"/>
        </w:tblBorders>
        <w:tblLayout w:type="fixed"/>
        <w:tblCellMar>
          <w:top w:w="50" w:type="dxa"/>
          <w:left w:w="80" w:type="dxa"/>
          <w:bottom w:w="50" w:type="dxa"/>
          <w:right w:w="80" w:type="dxa"/>
        </w:tblCellMar>
      </w:tblPr>
      <w:tblGrid>
        <w:gridCol w:w="700"/>
        <w:gridCol w:w="8800"/>
        <w:gridCol w:w="700"/>
        <w:gridCol w:w="700"/>
        <w:gridCol w:w="700"/>
        <w:gridCol w:w="3798"/>
      </w:tblGrid>
      <w:tr>
        <w:trPr>
          <w:tblHeader/>
          <w:cantSplit/>
        </w:trPr>
        <w:tc>
          <w:tcPr>
            <w:tcW w:w="700" w:type="dxa"/>
            <w:shd w:val="clear" w:color="auto" w:fill="154360"/>
            <w:vAlign w:val="center"/>
          </w:tcPr>
          <w:p>
            <w:pPr>
              <w:spacing w:before="0" w:after="0"/>
              <w:jc w:val="left"/>
            </w:pPr>
            <w:r>
              <w:rPr>
                <w:b/>
                <w:color w:val="FFFFFF"/>
                <w:sz w:val="18"/>
                <w:szCs w:val="18"/>
              </w:rPr>
              <w:t xml:space="preserve">No.</w:t>
            </w:r>
          </w:p>
        </w:tc>
        <w:tc>
          <w:tcPr>
            <w:tcW w:w="8800" w:type="dxa"/>
            <w:shd w:val="clear" w:color="auto" w:fill="154360"/>
            <w:vAlign w:val="center"/>
          </w:tcPr>
          <w:p>
            <w:pPr>
              <w:spacing w:before="0" w:after="0"/>
              <w:jc w:val="left"/>
            </w:pPr>
            <w:r>
              <w:rPr>
                <w:b/>
                <w:color w:val="FFFFFF"/>
                <w:sz w:val="18"/>
                <w:szCs w:val="18"/>
              </w:rPr>
              <w:t xml:space="preserve">Check point</w:t>
            </w:r>
          </w:p>
        </w:tc>
        <w:tc>
          <w:tcPr>
            <w:tcW w:w="700" w:type="dxa"/>
            <w:shd w:val="clear" w:color="auto" w:fill="154360"/>
            <w:vAlign w:val="center"/>
          </w:tcPr>
          <w:p>
            <w:pPr>
              <w:spacing w:before="0" w:after="0"/>
              <w:jc w:val="center"/>
            </w:pPr>
            <w:r>
              <w:rPr>
                <w:b/>
                <w:color w:val="FFFFFF"/>
                <w:sz w:val="18"/>
                <w:szCs w:val="18"/>
              </w:rPr>
              <w:t xml:space="preserve">Yes</w:t>
            </w:r>
          </w:p>
        </w:tc>
        <w:tc>
          <w:tcPr>
            <w:tcW w:w="700" w:type="dxa"/>
            <w:shd w:val="clear" w:color="auto" w:fill="154360"/>
            <w:vAlign w:val="center"/>
          </w:tcPr>
          <w:p>
            <w:pPr>
              <w:spacing w:before="0" w:after="0"/>
              <w:jc w:val="center"/>
            </w:pPr>
            <w:r>
              <w:rPr>
                <w:b/>
                <w:color w:val="FFFFFF"/>
                <w:sz w:val="18"/>
                <w:szCs w:val="18"/>
              </w:rPr>
              <w:t xml:space="preserve">No</w:t>
            </w:r>
          </w:p>
        </w:tc>
        <w:tc>
          <w:tcPr>
            <w:tcW w:w="700" w:type="dxa"/>
            <w:shd w:val="clear" w:color="auto" w:fill="154360"/>
            <w:vAlign w:val="center"/>
          </w:tcPr>
          <w:p>
            <w:pPr>
              <w:spacing w:before="0" w:after="0"/>
              <w:jc w:val="center"/>
            </w:pPr>
            <w:r>
              <w:rPr>
                <w:b/>
                <w:color w:val="FFFFFF"/>
                <w:sz w:val="18"/>
                <w:szCs w:val="18"/>
              </w:rPr>
              <w:t xml:space="preserve">N/A</w:t>
            </w:r>
          </w:p>
        </w:tc>
        <w:tc>
          <w:tcPr>
            <w:tcW w:w="3798" w:type="dxa"/>
            <w:shd w:val="clear" w:color="auto" w:fill="154360"/>
            <w:vAlign w:val="center"/>
          </w:tcPr>
          <w:p>
            <w:pPr>
              <w:spacing w:before="0" w:after="0"/>
              <w:jc w:val="left"/>
            </w:pPr>
            <w:r>
              <w:rPr>
                <w:b/>
                <w:color w:val="FFFFFF"/>
                <w:sz w:val="18"/>
                <w:szCs w:val="18"/>
              </w:rPr>
              <w:t xml:space="preserve">Evidence / remarks</w:t>
            </w:r>
          </w:p>
        </w:tc>
      </w:tr>
      <w:tr>
        <w:trPr>
          <w:cantSplit/>
        </w:trPr>
        <w:tc>
          <w:tcPr>
            <w:tcW w:w="15398" w:type="dxa"/>
            <w:gridSpan w:val="6"/>
            <w:shd w:val="clear" w:color="auto" w:fill="0E3348"/>
            <w:vAlign w:val="top"/>
          </w:tcPr>
          <w:p>
            <w:pPr>
              <w:spacing w:before="0" w:after="0"/>
            </w:pPr>
            <w:r>
              <w:rPr>
                <w:b/>
                <w:color w:val="FFFFFF"/>
                <w:sz w:val="18"/>
                <w:szCs w:val="18"/>
              </w:rPr>
              <w:t xml:space="preserve">WHAT CAN BE ADDED TO COST</w:t>
            </w:r>
          </w:p>
        </w:tc>
      </w:tr>
      <w:tr>
        <w:trPr>
          <w:cantSplit/>
        </w:trPr>
        <w:tc>
          <w:tcPr>
            <w:tcW w:w="15398" w:type="dxa"/>
            <w:gridSpan w:val="6"/>
            <w:shd w:val="clear" w:color="auto" w:fill="E6EEF4"/>
            <w:vAlign w:val="top"/>
          </w:tcPr>
          <w:p>
            <w:pPr>
              <w:keepNext/>
              <w:spacing w:before="0" w:after="0"/>
            </w:pPr>
            <w:r>
              <w:rPr>
                <w:b/>
                <w:color w:val="154360"/>
                <w:sz w:val="19"/>
                <w:szCs w:val="19"/>
              </w:rPr>
              <w:t xml:space="preserve">1.  Purchase price and incidental costs</w:t>
            </w:r>
            <w:r>
              <w:rPr>
                <w:color w:val="5B6B78"/>
                <w:sz w:val="17"/>
                <w:szCs w:val="17"/>
              </w:rPr>
              <w:t xml:space="preserve">   (Sections 37(2), 37(4) and 76; Rule 31(3))</w:t>
            </w:r>
          </w:p>
          <w:p>
            <w:pPr>
              <w:spacing w:before="0" w:after="0"/>
            </w:pPr>
            <w:r>
              <w:rPr>
                <w:i/>
                <w:color w:val="5B6B78"/>
                <w:sz w:val="16"/>
                <w:szCs w:val="16"/>
              </w:rPr>
              <w:t xml:space="preserve">Keep on file: Purchase deed, payment proof, receipts for incidental costs</w:t>
            </w:r>
          </w:p>
        </w:tc>
      </w:tr>
      <w:tr>
        <w:trPr>
          <w:cantSplit/>
        </w:trPr>
        <w:tc>
          <w:tcPr>
            <w:tcW w:w="700" w:type="dxa"/>
            <w:vAlign w:val="top"/>
          </w:tcPr>
          <w:p>
            <w:pPr>
              <w:spacing w:before="0" w:after="0"/>
            </w:pPr>
            <w:r>
              <w:rPr>
                <w:sz w:val="18"/>
                <w:szCs w:val="18"/>
              </w:rPr>
              <w:t xml:space="preserve">1.1</w:t>
            </w:r>
          </w:p>
        </w:tc>
        <w:tc>
          <w:tcPr>
            <w:tcW w:w="8800" w:type="dxa"/>
            <w:vAlign w:val="top"/>
          </w:tcPr>
          <w:p>
            <w:pPr>
              <w:spacing w:before="0" w:after="0"/>
            </w:pPr>
            <w:r>
              <w:rPr>
                <w:sz w:val="18"/>
                <w:szCs w:val="18"/>
              </w:rPr>
              <w:t xml:space="preserve">Is the purchase price supported by a sale deed / contract and payment proof?</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w:t>
            </w:r>
          </w:p>
        </w:tc>
        <w:tc>
          <w:tcPr>
            <w:tcW w:w="8800" w:type="dxa"/>
            <w:vAlign w:val="top"/>
          </w:tcPr>
          <w:p>
            <w:pPr>
              <w:spacing w:before="0" w:after="0"/>
            </w:pPr>
            <w:r>
              <w:rPr>
                <w:sz w:val="18"/>
                <w:szCs w:val="18"/>
              </w:rPr>
              <w:t xml:space="preserve">Are incidental costs of acquisition and disposal supported by receipts?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1.3</w:t>
            </w:r>
          </w:p>
        </w:tc>
        <w:tc>
          <w:tcPr>
            <w:tcW w:w="8800" w:type="dxa"/>
            <w:vAlign w:val="top"/>
          </w:tcPr>
          <w:p>
            <w:pPr>
              <w:spacing w:before="0" w:after="0"/>
            </w:pPr>
            <w:r>
              <w:rPr>
                <w:sz w:val="18"/>
                <w:szCs w:val="18"/>
              </w:rPr>
              <w:t xml:space="preserve">Are improvement costs supported by bills?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1.4</w:t>
            </w:r>
          </w:p>
        </w:tc>
        <w:tc>
          <w:tcPr>
            <w:tcW w:w="8800" w:type="dxa"/>
            <w:vAlign w:val="top"/>
          </w:tcPr>
          <w:p>
            <w:pPr>
              <w:spacing w:before="0" w:after="0"/>
            </w:pPr>
            <w:r>
              <w:rPr>
                <w:sz w:val="18"/>
                <w:szCs w:val="18"/>
              </w:rPr>
              <w:t xml:space="preserve">Have amounts already deducted under another provision, or covered by section 21, been excluded from cost?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1.5</w:t>
            </w:r>
          </w:p>
        </w:tc>
        <w:tc>
          <w:tcPr>
            <w:tcW w:w="8800" w:type="dxa"/>
            <w:vAlign w:val="top"/>
          </w:tcPr>
          <w:p>
            <w:pPr>
              <w:spacing w:before="0" w:after="0"/>
            </w:pPr>
            <w:r>
              <w:rPr>
                <w:sz w:val="18"/>
                <w:szCs w:val="18"/>
              </w:rPr>
              <w:t xml:space="preserve">Have grants / subsidies relating to the asset been deducted from cost?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2.  Inherited or gifted assets</w:t>
            </w:r>
            <w:r>
              <w:rPr>
                <w:color w:val="5B6B78"/>
                <w:sz w:val="17"/>
                <w:szCs w:val="17"/>
              </w:rPr>
              <w:t xml:space="preserve">   (Section 76(8A) and section 79)</w:t>
            </w:r>
          </w:p>
          <w:p>
            <w:pPr>
              <w:spacing w:before="0" w:after="0"/>
            </w:pPr>
            <w:r>
              <w:rPr>
                <w:i/>
                <w:color w:val="5B6B78"/>
                <w:sz w:val="16"/>
                <w:szCs w:val="16"/>
              </w:rPr>
              <w:t xml:space="preserve">Keep on file: Succession certificate, FBR / DC valuation</w:t>
            </w:r>
          </w:p>
        </w:tc>
      </w:tr>
      <w:tr>
        <w:trPr>
          <w:cantSplit/>
        </w:trPr>
        <w:tc>
          <w:tcPr>
            <w:tcW w:w="700" w:type="dxa"/>
            <w:vAlign w:val="top"/>
          </w:tcPr>
          <w:p>
            <w:pPr>
              <w:spacing w:before="0" w:after="0"/>
            </w:pPr>
            <w:r>
              <w:rPr>
                <w:sz w:val="18"/>
                <w:szCs w:val="18"/>
              </w:rPr>
              <w:t xml:space="preserve">2.1</w:t>
            </w:r>
          </w:p>
        </w:tc>
        <w:tc>
          <w:tcPr>
            <w:tcW w:w="8800" w:type="dxa"/>
            <w:vAlign w:val="top"/>
          </w:tcPr>
          <w:p>
            <w:pPr>
              <w:spacing w:before="0" w:after="0"/>
            </w:pPr>
            <w:r>
              <w:rPr>
                <w:sz w:val="18"/>
                <w:szCs w:val="18"/>
              </w:rPr>
              <w:t xml:space="preserve">For inherited immovable property, has cost been taken at fair market value on transfer to the heir?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2.2</w:t>
            </w:r>
          </w:p>
        </w:tc>
        <w:tc>
          <w:tcPr>
            <w:tcW w:w="8800" w:type="dxa"/>
            <w:vAlign w:val="top"/>
          </w:tcPr>
          <w:p>
            <w:pPr>
              <w:spacing w:before="0" w:after="0"/>
            </w:pPr>
            <w:r>
              <w:rPr>
                <w:sz w:val="18"/>
                <w:szCs w:val="18"/>
              </w:rPr>
              <w:t xml:space="preserve">Is the succession / gift deed and valuation evidence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0E3348"/>
            <w:vAlign w:val="top"/>
          </w:tcPr>
          <w:p>
            <w:pPr>
              <w:spacing w:before="0" w:after="0"/>
            </w:pPr>
            <w:r>
              <w:rPr>
                <w:b/>
                <w:color w:val="FFFFFF"/>
                <w:sz w:val="18"/>
                <w:szCs w:val="18"/>
              </w:rPr>
              <w:t xml:space="preserve">CAPITAL LOSSES</w:t>
            </w:r>
          </w:p>
        </w:tc>
      </w:tr>
      <w:tr>
        <w:trPr>
          <w:cantSplit/>
        </w:trPr>
        <w:tc>
          <w:tcPr>
            <w:tcW w:w="15398" w:type="dxa"/>
            <w:gridSpan w:val="6"/>
            <w:shd w:val="clear" w:color="auto" w:fill="E6EEF4"/>
            <w:vAlign w:val="top"/>
          </w:tcPr>
          <w:p>
            <w:pPr>
              <w:keepNext/>
              <w:spacing w:before="0" w:after="0"/>
            </w:pPr>
            <w:r>
              <w:rPr>
                <w:b/>
                <w:color w:val="154360"/>
                <w:sz w:val="19"/>
                <w:szCs w:val="19"/>
              </w:rPr>
              <w:t xml:space="preserve">3.  Loss on sale of a capital asset</w:t>
            </w:r>
            <w:r>
              <w:rPr>
                <w:color w:val="5B6B78"/>
                <w:sz w:val="17"/>
                <w:szCs w:val="17"/>
              </w:rPr>
              <w:t xml:space="preserve">   (Sections 38 and 59)</w:t>
            </w:r>
          </w:p>
          <w:p>
            <w:pPr>
              <w:spacing w:before="0" w:after="0"/>
            </w:pPr>
            <w:r>
              <w:rPr>
                <w:i/>
                <w:color w:val="5B6B78"/>
                <w:sz w:val="16"/>
                <w:szCs w:val="16"/>
              </w:rPr>
              <w:t xml:space="preserve">Keep on file: Loss computation, prior returns</w:t>
            </w:r>
          </w:p>
        </w:tc>
      </w:tr>
      <w:tr>
        <w:trPr>
          <w:cantSplit/>
        </w:trPr>
        <w:tc>
          <w:tcPr>
            <w:tcW w:w="700" w:type="dxa"/>
            <w:vAlign w:val="top"/>
          </w:tcPr>
          <w:p>
            <w:pPr>
              <w:spacing w:before="0" w:after="0"/>
            </w:pPr>
            <w:r>
              <w:rPr>
                <w:sz w:val="18"/>
                <w:szCs w:val="18"/>
              </w:rPr>
              <w:t xml:space="preserve">3.1</w:t>
            </w:r>
          </w:p>
        </w:tc>
        <w:tc>
          <w:tcPr>
            <w:tcW w:w="8800" w:type="dxa"/>
            <w:vAlign w:val="top"/>
          </w:tcPr>
          <w:p>
            <w:pPr>
              <w:spacing w:before="0" w:after="0"/>
            </w:pPr>
            <w:r>
              <w:rPr>
                <w:sz w:val="18"/>
                <w:szCs w:val="18"/>
              </w:rPr>
              <w:t xml:space="preserve">Has the loss been set off only against capital gains?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3.2</w:t>
            </w:r>
          </w:p>
        </w:tc>
        <w:tc>
          <w:tcPr>
            <w:tcW w:w="8800" w:type="dxa"/>
            <w:vAlign w:val="top"/>
          </w:tcPr>
          <w:p>
            <w:pPr>
              <w:spacing w:before="0" w:after="0"/>
            </w:pPr>
            <w:r>
              <w:rPr>
                <w:sz w:val="18"/>
                <w:szCs w:val="18"/>
              </w:rPr>
              <w:t xml:space="preserve">Would a gain on this asset have been taxable (i.e. not exempt)?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3.3</w:t>
            </w:r>
          </w:p>
        </w:tc>
        <w:tc>
          <w:tcPr>
            <w:tcW w:w="8800" w:type="dxa"/>
            <w:vAlign w:val="top"/>
          </w:tcPr>
          <w:p>
            <w:pPr>
              <w:spacing w:before="0" w:after="0"/>
            </w:pPr>
            <w:r>
              <w:rPr>
                <w:sz w:val="18"/>
                <w:szCs w:val="18"/>
              </w:rPr>
              <w:t xml:space="preserve">Have losses on art, jewellery, manuscripts, stamps, coins and antiques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3.4</w:t>
            </w:r>
          </w:p>
        </w:tc>
        <w:tc>
          <w:tcPr>
            <w:tcW w:w="8800" w:type="dxa"/>
            <w:vAlign w:val="top"/>
          </w:tcPr>
          <w:p>
            <w:pPr>
              <w:spacing w:before="0" w:after="0"/>
            </w:pPr>
            <w:r>
              <w:rPr>
                <w:sz w:val="18"/>
                <w:szCs w:val="18"/>
              </w:rPr>
              <w:t xml:space="preserve">Is the carry-forward within the 6-year limit, oldest loss first?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4.  Gains and losses on listed securities</w:t>
            </w:r>
            <w:r>
              <w:rPr>
                <w:color w:val="5B6B78"/>
                <w:sz w:val="17"/>
                <w:szCs w:val="17"/>
              </w:rPr>
              <w:t xml:space="preserve">   (Section 37A; Rules 13A-13M)</w:t>
            </w:r>
          </w:p>
          <w:p>
            <w:pPr>
              <w:spacing w:before="0" w:after="0"/>
            </w:pPr>
            <w:r>
              <w:rPr>
                <w:i/>
                <w:color w:val="5B6B78"/>
                <w:sz w:val="16"/>
                <w:szCs w:val="16"/>
              </w:rPr>
              <w:t xml:space="preserve">Keep on file: NCCPL statement, broker bills and ledgers, CDC statements, bank proof</w:t>
            </w:r>
          </w:p>
        </w:tc>
      </w:tr>
      <w:tr>
        <w:trPr>
          <w:cantSplit/>
        </w:trPr>
        <w:tc>
          <w:tcPr>
            <w:tcW w:w="700" w:type="dxa"/>
            <w:vAlign w:val="top"/>
          </w:tcPr>
          <w:p>
            <w:pPr>
              <w:spacing w:before="0" w:after="0"/>
            </w:pPr>
            <w:r>
              <w:rPr>
                <w:sz w:val="18"/>
                <w:szCs w:val="18"/>
              </w:rPr>
              <w:t xml:space="preserve">4.1</w:t>
            </w:r>
          </w:p>
        </w:tc>
        <w:tc>
          <w:tcPr>
            <w:tcW w:w="8800" w:type="dxa"/>
            <w:vAlign w:val="top"/>
          </w:tcPr>
          <w:p>
            <w:pPr>
              <w:spacing w:before="0" w:after="0"/>
            </w:pPr>
            <w:r>
              <w:rPr>
                <w:sz w:val="18"/>
                <w:szCs w:val="18"/>
              </w:rPr>
              <w:t xml:space="preserve">Has the NCCPL capital gains statement been obtained and reconciled?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4.2</w:t>
            </w:r>
          </w:p>
        </w:tc>
        <w:tc>
          <w:tcPr>
            <w:tcW w:w="8800" w:type="dxa"/>
            <w:vAlign w:val="top"/>
          </w:tcPr>
          <w:p>
            <w:pPr>
              <w:spacing w:before="0" w:after="0"/>
            </w:pPr>
            <w:r>
              <w:rPr>
                <w:sz w:val="18"/>
                <w:szCs w:val="18"/>
              </w:rPr>
              <w:t xml:space="preserve">Has the gain / loss been computed on FIFO basis, with special cost rules applied to right, bonus, inherited and IPO shares?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4.3</w:t>
            </w:r>
          </w:p>
        </w:tc>
        <w:tc>
          <w:tcPr>
            <w:tcW w:w="8800" w:type="dxa"/>
            <w:vAlign w:val="top"/>
          </w:tcPr>
          <w:p>
            <w:pPr>
              <w:spacing w:before="0" w:after="0"/>
            </w:pPr>
            <w:r>
              <w:rPr>
                <w:sz w:val="18"/>
                <w:szCs w:val="18"/>
              </w:rPr>
              <w:t xml:space="preserve">Have losses from wash sales, cross trades and tax-swap sales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4.4</w:t>
            </w:r>
          </w:p>
        </w:tc>
        <w:tc>
          <w:tcPr>
            <w:tcW w:w="8800" w:type="dxa"/>
            <w:vAlign w:val="top"/>
          </w:tcPr>
          <w:p>
            <w:pPr>
              <w:spacing w:before="0" w:after="0"/>
            </w:pPr>
            <w:r>
              <w:rPr>
                <w:sz w:val="18"/>
                <w:szCs w:val="18"/>
              </w:rPr>
              <w:t xml:space="preserve">Have securities losses been set off only against securities gains?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4.5</w:t>
            </w:r>
          </w:p>
        </w:tc>
        <w:tc>
          <w:tcPr>
            <w:tcW w:w="8800" w:type="dxa"/>
            <w:vAlign w:val="top"/>
          </w:tcPr>
          <w:p>
            <w:pPr>
              <w:spacing w:before="0" w:after="0"/>
            </w:pPr>
            <w:r>
              <w:rPr>
                <w:sz w:val="18"/>
                <w:szCs w:val="18"/>
              </w:rPr>
              <w:t xml:space="preserve">Is any carried-forward securities loss within the 3-year limit?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4.6</w:t>
            </w:r>
          </w:p>
        </w:tc>
        <w:tc>
          <w:tcPr>
            <w:tcW w:w="8800" w:type="dxa"/>
            <w:vAlign w:val="top"/>
          </w:tcPr>
          <w:p>
            <w:pPr>
              <w:spacing w:before="0" w:after="0"/>
            </w:pPr>
            <w:r>
              <w:rPr>
                <w:sz w:val="18"/>
                <w:szCs w:val="18"/>
              </w:rPr>
              <w:t xml:space="preserve">Are broker bills, broker ledger statements, CDC statements and proof of bank payments kept as evidence of each purchase and sale (Rules 13A, 13B, 13I)?</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4.7</w:t>
            </w:r>
          </w:p>
        </w:tc>
        <w:tc>
          <w:tcPr>
            <w:tcW w:w="8800" w:type="dxa"/>
            <w:vAlign w:val="top"/>
          </w:tcPr>
          <w:p>
            <w:pPr>
              <w:spacing w:before="0" w:after="0"/>
            </w:pPr>
            <w:r>
              <w:rPr>
                <w:sz w:val="18"/>
                <w:szCs w:val="18"/>
              </w:rPr>
              <w:t xml:space="preserve">(Non-individual investors) Were quarterly capital gains statements e-filed within 21 days of each quarter end?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bl>
    <w:p>
      <w:pPr>
        <w:spacing w:before="0" w:after="200"/>
      </w:pPr>
      <w:r>
        <w:t xml:space="preserve"/>
      </w:r>
    </w:p>
    <w:p>
      <w:pPr>
        <w:spacing w:before="0" w:after="240"/>
      </w:pPr>
      <w:r>
        <w:rPr>
          <w:b/>
          <w:sz w:val="19"/>
          <w:szCs w:val="19"/>
        </w:rPr>
        <w:t xml:space="preserve">Conclusion: all "No" answers resolved or the related deduction reduced?   Yes ☐   No ☐</w:t>
      </w:r>
    </w:p>
    <w:p>
      <w:pPr>
        <w:spacing w:before="0" w:after="240"/>
      </w:pPr>
      <w:r>
        <w:rPr>
          <w:sz w:val="19"/>
          <w:szCs w:val="19"/>
        </w:rPr>
        <w:t xml:space="preserve">Prepared by: ____________________   Date: __________          Reviewed by: ____________________   Date: __________</w:t>
      </w:r>
    </w:p>
    <w:p>
      <w:pPr>
        <w:spacing w:before="0" w:after="40"/>
      </w:pPr>
      <w:r>
        <w:rPr>
          <w:i/>
          <w:color w:val="5B6B78"/>
          <w:sz w:val="15"/>
          <w:szCs w:val="15"/>
        </w:rPr>
        <w:t xml:space="preserve">Disclaimer: This checklist is a helper tool only and does not constitute legal or tax advice. Verify each point against the Income Tax Ordinance, 2001, the Income Tax Rules, 2002 and FBR circulars, and consult your tax advisor before acting.</w:t>
      </w:r>
    </w:p>
    <w:p>
      <w:pPr>
        <w:spacing w:before="0" w:after="0"/>
      </w:pPr>
      <w:r>
        <w:rPr>
          <w:i/>
          <w:color w:val="5B6B78"/>
          <w:sz w:val="15"/>
          <w:szCs w:val="15"/>
        </w:rPr>
        <w:t xml:space="preserve">Generated 27 Oct 2026 by the Allowable Deductions Helper.</w:t>
      </w:r>
    </w:p>
    <w:sectPr>
      <w:footerReference w:type="default" r:id="rIdFooter"/>
      <w:pgSz w:w="16838" w:h="11906" w:orient="landscape"/>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14="http://schemas.microsoft.com/office/word/2010/wordml" xmlns:mc="http://schemas.openxmlformats.org/markup-compatibility/2006" mc:Ignorable="w14">
  <w:p>
    <w:pPr>
      <w:tabs>
        <w:tab w:val="right" w:pos="15398"/>
      </w:tabs>
    </w:pPr>
    <w:r>
      <w:rPr>
        <w:color w:val="5B6B78"/>
        <w:sz w:val="16"/>
        <w:szCs w:val="16"/>
      </w:rPr>
      <w:t xml:space="preserve">Capital Gains - allowable deductions checklist</w:t>
    </w:r>
    <w:r>
      <w:tab/>
    </w:r>
    <w:r>
      <w:rPr>
        <w:sz w:val="16"/>
        <w:szCs w:val="16"/>
      </w:rPr>
      <w:t xml:space="preserve">Page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szCs w:val="16"/>
      </w:rPr>
      <w:t xml:space="preserve"> of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styles.xml><?xml version="1.0" encoding="utf-8"?>
<w:styles xmlns:w="http://schemas.openxmlformats.org/wordprocessingml/2006/main">
  <w:docDefaults>
    <w:rPrDefault>
      <w:rPr>
        <w:rFonts w:ascii="Arial" w:hAnsi="Arial" w:eastAsia="Arial" w:cs="Arial"/>
        <w:sz w:val="20"/>
        <w:szCs w:val="20"/>
        <w:color w:val="1F2D3A"/>
      </w:rPr>
    </w:rPrDefault>
    <w:pPrDefault>
      <w:pPr>
        <w:spacing w:after="0" w:line="252" w:lineRule="auto"/>
      </w:pPr>
    </w:pPrDefault>
  </w:docDefaults>
  <w:style w:type="paragraph" w:default="1" w:styleId="Normal">
    <w:name w:val="Normal"/>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Compliance Checklist - Allowable Deductions - Capital Gains</dc:title>
  <dc:creator>Allowable Deductions Helper</dc:creator>
</cp:coreProperties>
</file>