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14="http://schemas.microsoft.com/office/word/2010/wordml" xmlns:mc="http://schemas.openxmlformats.org/markup-compatibility/2006" mc:Ignorable="w14">
  <w:body>
    <w:p>
      <w:pPr>
        <w:spacing w:before="0" w:after="40"/>
      </w:pPr>
      <w:r>
        <w:rPr>
          <w:b/>
          <w:color w:val="154360"/>
          <w:sz w:val="32"/>
          <w:szCs w:val="32"/>
        </w:rPr>
        <w:t xml:space="preserve">Compliance Checklist - Allowable Deductions</w:t>
      </w:r>
    </w:p>
    <w:p>
      <w:pPr>
        <w:spacing w:before="0" w:after="40"/>
      </w:pPr>
      <w:r>
        <w:rPr>
          <w:b/>
          <w:sz w:val="22"/>
          <w:szCs w:val="22"/>
        </w:rPr>
        <w:t xml:space="preserve">Head of income: Income from Other Sources (Sections 39 and 40)</w:t>
      </w:r>
    </w:p>
    <w:p>
      <w:pPr>
        <w:spacing w:before="0" w:after="200"/>
      </w:pPr>
      <w:r>
        <w:rPr>
          <w:i/>
          <w:color w:val="5B6B78"/>
          <w:sz w:val="18"/>
          <w:szCs w:val="18"/>
        </w:rPr>
        <w:t xml:space="preserve">Income Tax Ordinance, 2001 (amended up to 30 June 2026) and Income Tax Rules, 2002 (amended up to 15 September 2026)</w:t>
      </w:r>
    </w:p>
    <w:tbl>
      <w:tblPr>
        <w:tblW w:w="15398" w:type="dxa"/>
        <w:tblBorders>
          <w:insideH w:val="single" w:sz="4" w:color="B7C6D1"/>
          <w:bottom w:val="single" w:sz="4" w:color="B7C6D1"/>
          <w:top w:val="single" w:sz="4" w:color="B7C6D1"/>
        </w:tblBorders>
        <w:tblLayout w:type="fixed"/>
        <w:tblCellMar>
          <w:top w:w="60" w:type="dxa"/>
          <w:left w:w="100" w:type="dxa"/>
          <w:bottom w:w="60" w:type="dxa"/>
          <w:right w:w="100" w:type="dxa"/>
        </w:tblCellMar>
      </w:tblPr>
      <w:tblGrid>
        <w:gridCol w:w="2200"/>
        <w:gridCol w:w="5499"/>
        <w:gridCol w:w="2200"/>
        <w:gridCol w:w="5499"/>
      </w:tblGrid>
      <w:tr>
        <w:tc>
          <w:tcPr>
            <w:tcW w:w="2200" w:type="dxa"/>
            <w:shd w:val="clear" w:color="auto" w:fill="F5F8FA"/>
            <w:vAlign w:val="center"/>
          </w:tcPr>
          <w:p>
            <w:pPr>
              <w:spacing w:before="0" w:after="0"/>
            </w:pPr>
            <w:r>
              <w:rPr>
                <w:b/>
                <w:sz w:val="19"/>
                <w:szCs w:val="19"/>
              </w:rPr>
              <w:t xml:space="preserve">Taxpayer name</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NTN / CNIC</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Tax year</w:t>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Prepared by / date</w:t>
            </w:r>
          </w:p>
        </w:tc>
        <w:tc>
          <w:tcPr>
            <w:tcW w:w="5499" w:type="dxa"/>
            <w:shd w:val="clear" w:color="auto" w:fill="FFFDF0"/>
            <w:vAlign w:val="center"/>
          </w:tcPr>
          <w:p>
            <w:pPr>
              <w:spacing w:before="0" w:after="0"/>
            </w:pPr>
            <w:r>
              <w:rPr>
                <w:sz w:val="19"/>
                <w:szCs w:val="19"/>
              </w:rPr>
              <w:t xml:space="preserve"/>
            </w:r>
          </w:p>
        </w:tc>
      </w:tr>
      <w:tr>
        <w:tc>
          <w:tcPr>
            <w:tcW w:w="2200" w:type="dxa"/>
            <w:shd w:val="clear" w:color="auto" w:fill="F5F8FA"/>
            <w:vAlign w:val="center"/>
          </w:tcPr>
          <w:p>
            <w:pPr>
              <w:spacing w:before="0" w:after="0"/>
            </w:pPr>
            <w:r>
              <w:rPr>
                <w:b/>
                <w:sz w:val="19"/>
                <w:szCs w:val="19"/>
              </w:rPr>
              <w:t xml:space="preserve"/>
            </w:r>
          </w:p>
        </w:tc>
        <w:tc>
          <w:tcPr>
            <w:tcW w:w="5499" w:type="dxa"/>
            <w:shd w:val="clear" w:color="auto" w:fill="FFFDF0"/>
            <w:vAlign w:val="center"/>
          </w:tcPr>
          <w:p>
            <w:pPr>
              <w:spacing w:before="0" w:after="0"/>
            </w:pPr>
            <w:r>
              <w:rPr>
                <w:sz w:val="19"/>
                <w:szCs w:val="19"/>
              </w:rPr>
              <w:t xml:space="preserve"/>
            </w:r>
          </w:p>
        </w:tc>
        <w:tc>
          <w:tcPr>
            <w:tcW w:w="2200" w:type="dxa"/>
            <w:shd w:val="clear" w:color="auto" w:fill="F5F8FA"/>
            <w:vAlign w:val="center"/>
          </w:tcPr>
          <w:p>
            <w:pPr>
              <w:spacing w:before="0" w:after="0"/>
            </w:pPr>
            <w:r>
              <w:rPr>
                <w:b/>
                <w:sz w:val="19"/>
                <w:szCs w:val="19"/>
              </w:rPr>
              <w:t xml:space="preserve">Reviewed by / date</w:t>
            </w:r>
          </w:p>
        </w:tc>
        <w:tc>
          <w:tcPr>
            <w:tcW w:w="5499" w:type="dxa"/>
            <w:shd w:val="clear" w:color="auto" w:fill="FFFDF0"/>
            <w:vAlign w:val="center"/>
          </w:tcPr>
          <w:p>
            <w:pPr>
              <w:spacing w:before="0" w:after="0"/>
            </w:pPr>
            <w:r>
              <w:rPr>
                <w:sz w:val="19"/>
                <w:szCs w:val="19"/>
              </w:rPr>
              <w:t xml:space="preserve"/>
            </w:r>
          </w:p>
        </w:tc>
      </w:tr>
    </w:tbl>
    <w:p>
      <w:pPr>
        <w:spacing w:before="0" w:after="80"/>
      </w:pPr>
      <w:r>
        <w:t xml:space="preserve"/>
      </w:r>
    </w:p>
    <w:p>
      <w:pPr>
        <w:spacing w:before="0" w:after="160"/>
      </w:pPr>
      <w:r>
        <w:rPr>
          <w:b/>
          <w:sz w:val="18"/>
          <w:szCs w:val="18"/>
        </w:rPr>
        <w:t xml:space="preserve">How to fill: </w:t>
      </w:r>
      <w:r>
        <w:rPr>
          <w:sz w:val="18"/>
          <w:szCs w:val="18"/>
        </w:rPr>
        <w:t xml:space="preserve">For each check point mark Yes (complied), No (not complied - claim at risk) or N/A (not applicable), and note the evidence reference. Any "No" should be resolved or the deduction reduced before filing the return.</w:t>
      </w:r>
    </w:p>
    <w:tbl>
      <w:tblPr>
        <w:tblW w:w="15398" w:type="dxa"/>
        <w:tblBorders>
          <w:top w:val="single" w:sz="4" w:color="B7C6D1"/>
          <w:left w:val="single" w:sz="4" w:color="B7C6D1"/>
          <w:bottom w:val="single" w:sz="4" w:color="B7C6D1"/>
          <w:right w:val="single" w:sz="4" w:color="B7C6D1"/>
          <w:insideH w:val="single" w:sz="4" w:color="B7C6D1"/>
          <w:insideV w:val="single" w:sz="4" w:color="B7C6D1"/>
        </w:tblBorders>
        <w:tblLayout w:type="fixed"/>
        <w:tblCellMar>
          <w:top w:w="50" w:type="dxa"/>
          <w:left w:w="80" w:type="dxa"/>
          <w:bottom w:w="50" w:type="dxa"/>
          <w:right w:w="80" w:type="dxa"/>
        </w:tblCellMar>
      </w:tblPr>
      <w:tblGrid>
        <w:gridCol w:w="700"/>
        <w:gridCol w:w="8800"/>
        <w:gridCol w:w="700"/>
        <w:gridCol w:w="700"/>
        <w:gridCol w:w="700"/>
        <w:gridCol w:w="3798"/>
      </w:tblGrid>
      <w:tr>
        <w:trPr>
          <w:tblHeader/>
          <w:cantSplit/>
        </w:trPr>
        <w:tc>
          <w:tcPr>
            <w:tcW w:w="700" w:type="dxa"/>
            <w:shd w:val="clear" w:color="auto" w:fill="154360"/>
            <w:vAlign w:val="center"/>
          </w:tcPr>
          <w:p>
            <w:pPr>
              <w:spacing w:before="0" w:after="0"/>
              <w:jc w:val="left"/>
            </w:pPr>
            <w:r>
              <w:rPr>
                <w:b/>
                <w:color w:val="FFFFFF"/>
                <w:sz w:val="18"/>
                <w:szCs w:val="18"/>
              </w:rPr>
              <w:t xml:space="preserve">No.</w:t>
            </w:r>
          </w:p>
        </w:tc>
        <w:tc>
          <w:tcPr>
            <w:tcW w:w="8800" w:type="dxa"/>
            <w:shd w:val="clear" w:color="auto" w:fill="154360"/>
            <w:vAlign w:val="center"/>
          </w:tcPr>
          <w:p>
            <w:pPr>
              <w:spacing w:before="0" w:after="0"/>
              <w:jc w:val="left"/>
            </w:pPr>
            <w:r>
              <w:rPr>
                <w:b/>
                <w:color w:val="FFFFFF"/>
                <w:sz w:val="18"/>
                <w:szCs w:val="18"/>
              </w:rPr>
              <w:t xml:space="preserve">Check point</w:t>
            </w:r>
          </w:p>
        </w:tc>
        <w:tc>
          <w:tcPr>
            <w:tcW w:w="700" w:type="dxa"/>
            <w:shd w:val="clear" w:color="auto" w:fill="154360"/>
            <w:vAlign w:val="center"/>
          </w:tcPr>
          <w:p>
            <w:pPr>
              <w:spacing w:before="0" w:after="0"/>
              <w:jc w:val="center"/>
            </w:pPr>
            <w:r>
              <w:rPr>
                <w:b/>
                <w:color w:val="FFFFFF"/>
                <w:sz w:val="18"/>
                <w:szCs w:val="18"/>
              </w:rPr>
              <w:t xml:space="preserve">Yes</w:t>
            </w:r>
          </w:p>
        </w:tc>
        <w:tc>
          <w:tcPr>
            <w:tcW w:w="700" w:type="dxa"/>
            <w:shd w:val="clear" w:color="auto" w:fill="154360"/>
            <w:vAlign w:val="center"/>
          </w:tcPr>
          <w:p>
            <w:pPr>
              <w:spacing w:before="0" w:after="0"/>
              <w:jc w:val="center"/>
            </w:pPr>
            <w:r>
              <w:rPr>
                <w:b/>
                <w:color w:val="FFFFFF"/>
                <w:sz w:val="18"/>
                <w:szCs w:val="18"/>
              </w:rPr>
              <w:t xml:space="preserve">No</w:t>
            </w:r>
          </w:p>
        </w:tc>
        <w:tc>
          <w:tcPr>
            <w:tcW w:w="700" w:type="dxa"/>
            <w:shd w:val="clear" w:color="auto" w:fill="154360"/>
            <w:vAlign w:val="center"/>
          </w:tcPr>
          <w:p>
            <w:pPr>
              <w:spacing w:before="0" w:after="0"/>
              <w:jc w:val="center"/>
            </w:pPr>
            <w:r>
              <w:rPr>
                <w:b/>
                <w:color w:val="FFFFFF"/>
                <w:sz w:val="18"/>
                <w:szCs w:val="18"/>
              </w:rPr>
              <w:t xml:space="preserve">N/A</w:t>
            </w:r>
          </w:p>
        </w:tc>
        <w:tc>
          <w:tcPr>
            <w:tcW w:w="3798" w:type="dxa"/>
            <w:shd w:val="clear" w:color="auto" w:fill="154360"/>
            <w:vAlign w:val="center"/>
          </w:tcPr>
          <w:p>
            <w:pPr>
              <w:spacing w:before="0" w:after="0"/>
              <w:jc w:val="left"/>
            </w:pPr>
            <w:r>
              <w:rPr>
                <w:b/>
                <w:color w:val="FFFFFF"/>
                <w:sz w:val="18"/>
                <w:szCs w:val="18"/>
              </w:rPr>
              <w:t xml:space="preserve">Evidence / remarks</w:t>
            </w:r>
          </w:p>
        </w:tc>
      </w:tr>
      <w:tr>
        <w:trPr>
          <w:cantSplit/>
        </w:trPr>
        <w:tc>
          <w:tcPr>
            <w:tcW w:w="15398" w:type="dxa"/>
            <w:gridSpan w:val="6"/>
            <w:shd w:val="clear" w:color="auto" w:fill="0E3348"/>
            <w:vAlign w:val="top"/>
          </w:tcPr>
          <w:p>
            <w:pPr>
              <w:spacing w:before="0" w:after="0"/>
            </w:pPr>
            <w:r>
              <w:rPr>
                <w:b/>
                <w:color w:val="FFFFFF"/>
                <w:sz w:val="18"/>
                <w:szCs w:val="18"/>
              </w:rPr>
              <w:t xml:space="preserve">DEDUCTIONS ALLOWED</w:t>
            </w:r>
          </w:p>
        </w:tc>
      </w:tr>
      <w:tr>
        <w:trPr>
          <w:cantSplit/>
        </w:trPr>
        <w:tc>
          <w:tcPr>
            <w:tcW w:w="15398" w:type="dxa"/>
            <w:gridSpan w:val="6"/>
            <w:shd w:val="clear" w:color="auto" w:fill="E6EEF4"/>
            <w:vAlign w:val="top"/>
          </w:tcPr>
          <w:p>
            <w:pPr>
              <w:keepNext/>
              <w:spacing w:before="0" w:after="0"/>
            </w:pPr>
            <w:r>
              <w:rPr>
                <w:b/>
                <w:color w:val="154360"/>
                <w:sz w:val="19"/>
                <w:szCs w:val="19"/>
              </w:rPr>
              <w:t xml:space="preserve">1.  Expenses paid to earn the income</w:t>
            </w:r>
            <w:r>
              <w:rPr>
                <w:color w:val="5B6B78"/>
                <w:sz w:val="17"/>
                <w:szCs w:val="17"/>
              </w:rPr>
              <w:t xml:space="preserve">   (Section 40(1) and (6); Rule 31(4))</w:t>
            </w:r>
          </w:p>
          <w:p>
            <w:pPr>
              <w:spacing w:before="0" w:after="0"/>
            </w:pPr>
            <w:r>
              <w:rPr>
                <w:i/>
                <w:color w:val="5B6B78"/>
                <w:sz w:val="16"/>
                <w:szCs w:val="16"/>
              </w:rPr>
              <w:t xml:space="preserve">Keep on file: Agreements, bills, payment proofs (Rule 31(4))</w:t>
            </w:r>
          </w:p>
        </w:tc>
      </w:tr>
      <w:tr>
        <w:trPr>
          <w:cantSplit/>
        </w:trPr>
        <w:tc>
          <w:tcPr>
            <w:tcW w:w="700" w:type="dxa"/>
            <w:vAlign w:val="top"/>
          </w:tcPr>
          <w:p>
            <w:pPr>
              <w:spacing w:before="0" w:after="0"/>
            </w:pPr>
            <w:r>
              <w:rPr>
                <w:sz w:val="18"/>
                <w:szCs w:val="18"/>
              </w:rPr>
              <w:t xml:space="preserve">1.1</w:t>
            </w:r>
          </w:p>
        </w:tc>
        <w:tc>
          <w:tcPr>
            <w:tcW w:w="8800" w:type="dxa"/>
            <w:vAlign w:val="top"/>
          </w:tcPr>
          <w:p>
            <w:pPr>
              <w:spacing w:before="0" w:after="0"/>
            </w:pPr>
            <w:r>
              <w:rPr>
                <w:sz w:val="18"/>
                <w:szCs w:val="18"/>
              </w:rPr>
              <w:t xml:space="preserve">Was each expense actually paid in the tax year?</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1.2</w:t>
            </w:r>
          </w:p>
        </w:tc>
        <w:tc>
          <w:tcPr>
            <w:tcW w:w="8800" w:type="dxa"/>
            <w:vAlign w:val="top"/>
          </w:tcPr>
          <w:p>
            <w:pPr>
              <w:spacing w:before="0" w:after="0"/>
            </w:pPr>
            <w:r>
              <w:rPr>
                <w:sz w:val="18"/>
                <w:szCs w:val="18"/>
              </w:rPr>
              <w:t xml:space="preserve">Was it paid to earn the income taxed under this head?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1.3</w:t>
            </w:r>
          </w:p>
        </w:tc>
        <w:tc>
          <w:tcPr>
            <w:tcW w:w="8800" w:type="dxa"/>
            <w:vAlign w:val="top"/>
          </w:tcPr>
          <w:p>
            <w:pPr>
              <w:spacing w:before="0" w:after="0"/>
            </w:pPr>
            <w:r>
              <w:rPr>
                <w:sz w:val="18"/>
                <w:szCs w:val="18"/>
              </w:rPr>
              <w:t xml:space="preserve">Has capital expenditure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1.4</w:t>
            </w:r>
          </w:p>
        </w:tc>
        <w:tc>
          <w:tcPr>
            <w:tcW w:w="8800" w:type="dxa"/>
            <w:vAlign w:val="top"/>
          </w:tcPr>
          <w:p>
            <w:pPr>
              <w:spacing w:before="0" w:after="0"/>
            </w:pPr>
            <w:r>
              <w:rPr>
                <w:sz w:val="18"/>
                <w:szCs w:val="18"/>
              </w:rPr>
              <w:t xml:space="preserve">Are the agreements and evidence listed in Rule 31(4) on file?</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2.  Zakat deducted from profit on debt</w:t>
            </w:r>
            <w:r>
              <w:rPr>
                <w:color w:val="5B6B78"/>
                <w:sz w:val="17"/>
                <w:szCs w:val="17"/>
              </w:rPr>
              <w:t xml:space="preserve">   (Section 40(2))</w:t>
            </w:r>
          </w:p>
          <w:p>
            <w:pPr>
              <w:spacing w:before="0" w:after="0"/>
            </w:pPr>
            <w:r>
              <w:rPr>
                <w:i/>
                <w:color w:val="5B6B78"/>
                <w:sz w:val="16"/>
                <w:szCs w:val="16"/>
              </w:rPr>
              <w:t xml:space="preserve">Keep on file: Bank Zakat deduction certificate</w:t>
            </w:r>
          </w:p>
        </w:tc>
      </w:tr>
      <w:tr>
        <w:trPr>
          <w:cantSplit/>
        </w:trPr>
        <w:tc>
          <w:tcPr>
            <w:tcW w:w="700" w:type="dxa"/>
            <w:vAlign w:val="top"/>
          </w:tcPr>
          <w:p>
            <w:pPr>
              <w:spacing w:before="0" w:after="0"/>
            </w:pPr>
            <w:r>
              <w:rPr>
                <w:sz w:val="18"/>
                <w:szCs w:val="18"/>
              </w:rPr>
              <w:t xml:space="preserve">2.1</w:t>
            </w:r>
          </w:p>
        </w:tc>
        <w:tc>
          <w:tcPr>
            <w:tcW w:w="8800" w:type="dxa"/>
            <w:vAlign w:val="top"/>
          </w:tcPr>
          <w:p>
            <w:pPr>
              <w:spacing w:before="0" w:after="0"/>
            </w:pPr>
            <w:r>
              <w:rPr>
                <w:sz w:val="18"/>
                <w:szCs w:val="18"/>
              </w:rPr>
              <w:t xml:space="preserve">Was the Zakat deducted under the Zakat and Ushr Ordinance at the time of payment of profit?</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2.2</w:t>
            </w:r>
          </w:p>
        </w:tc>
        <w:tc>
          <w:tcPr>
            <w:tcW w:w="8800" w:type="dxa"/>
            <w:vAlign w:val="top"/>
          </w:tcPr>
          <w:p>
            <w:pPr>
              <w:spacing w:before="0" w:after="0"/>
            </w:pPr>
            <w:r>
              <w:rPr>
                <w:sz w:val="18"/>
                <w:szCs w:val="18"/>
              </w:rPr>
              <w:t xml:space="preserve">Has the same Zakat not been claimed again under section 60?</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E6EEF4"/>
            <w:vAlign w:val="top"/>
          </w:tcPr>
          <w:p>
            <w:pPr>
              <w:keepNext/>
              <w:spacing w:before="0" w:after="0"/>
            </w:pPr>
            <w:r>
              <w:rPr>
                <w:b/>
                <w:color w:val="154360"/>
                <w:sz w:val="19"/>
                <w:szCs w:val="19"/>
              </w:rPr>
              <w:t xml:space="preserve">3.  Depreciation for building leased with plant and machinery</w:t>
            </w:r>
            <w:r>
              <w:rPr>
                <w:color w:val="5B6B78"/>
                <w:sz w:val="17"/>
                <w:szCs w:val="17"/>
              </w:rPr>
              <w:t xml:space="preserve">   (Section 40(3))</w:t>
            </w:r>
          </w:p>
          <w:p>
            <w:pPr>
              <w:spacing w:before="0" w:after="0"/>
            </w:pPr>
            <w:r>
              <w:rPr>
                <w:i/>
                <w:color w:val="5B6B78"/>
                <w:sz w:val="16"/>
                <w:szCs w:val="16"/>
              </w:rPr>
              <w:t xml:space="preserve">Keep on file: Lease agreement, asset register</w:t>
            </w:r>
          </w:p>
        </w:tc>
      </w:tr>
      <w:tr>
        <w:trPr>
          <w:cantSplit/>
        </w:trPr>
        <w:tc>
          <w:tcPr>
            <w:tcW w:w="700" w:type="dxa"/>
            <w:vAlign w:val="top"/>
          </w:tcPr>
          <w:p>
            <w:pPr>
              <w:spacing w:before="0" w:after="0"/>
            </w:pPr>
            <w:r>
              <w:rPr>
                <w:sz w:val="18"/>
                <w:szCs w:val="18"/>
              </w:rPr>
              <w:t xml:space="preserve">3.1</w:t>
            </w:r>
          </w:p>
        </w:tc>
        <w:tc>
          <w:tcPr>
            <w:tcW w:w="8800" w:type="dxa"/>
            <w:vAlign w:val="top"/>
          </w:tcPr>
          <w:p>
            <w:pPr>
              <w:spacing w:before="0" w:after="0"/>
            </w:pPr>
            <w:r>
              <w:rPr>
                <w:sz w:val="18"/>
                <w:szCs w:val="18"/>
              </w:rPr>
              <w:t xml:space="preserve">Is the income from lease of a building together with plant / machinery?</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3.2</w:t>
            </w:r>
          </w:p>
        </w:tc>
        <w:tc>
          <w:tcPr>
            <w:tcW w:w="8800" w:type="dxa"/>
            <w:vAlign w:val="top"/>
          </w:tcPr>
          <w:p>
            <w:pPr>
              <w:spacing w:before="0" w:after="0"/>
            </w:pPr>
            <w:r>
              <w:rPr>
                <w:sz w:val="18"/>
                <w:szCs w:val="18"/>
              </w:rPr>
              <w:t xml:space="preserve">Have depreciation and initial allowance been computed under sections 22 and 23?</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BE5B6"/>
            <w:vAlign w:val="top"/>
          </w:tcPr>
          <w:p>
            <w:pPr>
              <w:spacing w:before="0" w:after="0"/>
            </w:pPr>
            <w:r>
              <w:rPr>
                <w:b/>
                <w:color w:val="7A5B00"/>
                <w:sz w:val="18"/>
                <w:szCs w:val="18"/>
              </w:rPr>
              <w:t xml:space="preserve">WATCH-OUTS</w:t>
            </w:r>
          </w:p>
        </w:tc>
      </w:tr>
      <w:tr>
        <w:trPr>
          <w:cantSplit/>
        </w:trPr>
        <w:tc>
          <w:tcPr>
            <w:tcW w:w="15398" w:type="dxa"/>
            <w:gridSpan w:val="6"/>
            <w:shd w:val="clear" w:color="auto" w:fill="FFF3CD"/>
            <w:vAlign w:val="top"/>
          </w:tcPr>
          <w:p>
            <w:pPr>
              <w:keepNext/>
              <w:spacing w:before="0" w:after="0"/>
            </w:pPr>
            <w:r>
              <w:rPr>
                <w:b/>
                <w:color w:val="7A5B00"/>
                <w:sz w:val="19"/>
                <w:szCs w:val="19"/>
              </w:rPr>
              <w:t xml:space="preserve">4.  Business disallowance rules apply; no double claims</w:t>
            </w:r>
            <w:r>
              <w:rPr>
                <w:color w:val="5B6B78"/>
                <w:sz w:val="17"/>
                <w:szCs w:val="17"/>
              </w:rPr>
              <w:t xml:space="preserve">   (Section 40(4) and (5))</w:t>
            </w:r>
          </w:p>
          <w:p>
            <w:pPr>
              <w:spacing w:before="0" w:after="0"/>
            </w:pPr>
            <w:r>
              <w:rPr>
                <w:i/>
                <w:color w:val="5B6B78"/>
                <w:sz w:val="16"/>
                <w:szCs w:val="16"/>
              </w:rPr>
              <w:t xml:space="preserve">Keep on file: WHT challans</w:t>
            </w:r>
          </w:p>
        </w:tc>
      </w:tr>
      <w:tr>
        <w:trPr>
          <w:cantSplit/>
        </w:trPr>
        <w:tc>
          <w:tcPr>
            <w:tcW w:w="700" w:type="dxa"/>
            <w:vAlign w:val="top"/>
          </w:tcPr>
          <w:p>
            <w:pPr>
              <w:spacing w:before="0" w:after="0"/>
            </w:pPr>
            <w:r>
              <w:rPr>
                <w:sz w:val="18"/>
                <w:szCs w:val="18"/>
              </w:rPr>
              <w:t xml:space="preserve">4.1</w:t>
            </w:r>
          </w:p>
        </w:tc>
        <w:tc>
          <w:tcPr>
            <w:tcW w:w="8800" w:type="dxa"/>
            <w:vAlign w:val="top"/>
          </w:tcPr>
          <w:p>
            <w:pPr>
              <w:spacing w:before="0" w:after="0"/>
            </w:pPr>
            <w:r>
              <w:rPr>
                <w:sz w:val="18"/>
                <w:szCs w:val="18"/>
              </w:rPr>
              <w:t xml:space="preserve">Has withholding tax been deducted where required on expenses claimed?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700" w:type="dxa"/>
            <w:vAlign w:val="top"/>
          </w:tcPr>
          <w:p>
            <w:pPr>
              <w:spacing w:before="0" w:after="0"/>
            </w:pPr>
            <w:r>
              <w:rPr>
                <w:sz w:val="18"/>
                <w:szCs w:val="18"/>
              </w:rPr>
              <w:t xml:space="preserve">4.2</w:t>
            </w:r>
          </w:p>
        </w:tc>
        <w:tc>
          <w:tcPr>
            <w:tcW w:w="8800" w:type="dxa"/>
            <w:vAlign w:val="top"/>
          </w:tcPr>
          <w:p>
            <w:pPr>
              <w:spacing w:before="0" w:after="0"/>
            </w:pPr>
            <w:r>
              <w:rPr>
                <w:sz w:val="18"/>
                <w:szCs w:val="18"/>
              </w:rPr>
              <w:t xml:space="preserve">Have expenses deductible under another head been excluded?</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r>
        <w:trPr>
          <w:cantSplit/>
        </w:trPr>
        <w:tc>
          <w:tcPr>
            <w:tcW w:w="15398" w:type="dxa"/>
            <w:gridSpan w:val="6"/>
            <w:shd w:val="clear" w:color="auto" w:fill="FFF3CD"/>
            <w:vAlign w:val="top"/>
          </w:tcPr>
          <w:p>
            <w:pPr>
              <w:keepNext/>
              <w:spacing w:before="0" w:after="0"/>
            </w:pPr>
            <w:r>
              <w:rPr>
                <w:b/>
                <w:color w:val="7A5B00"/>
                <w:sz w:val="19"/>
                <w:szCs w:val="19"/>
              </w:rPr>
              <w:t xml:space="preserve">5.  Cash loans, deposits and gifts can become income</w:t>
            </w:r>
            <w:r>
              <w:rPr>
                <w:color w:val="5B6B78"/>
                <w:sz w:val="17"/>
                <w:szCs w:val="17"/>
              </w:rPr>
              <w:t xml:space="preserve">   (Section 39(3))</w:t>
            </w:r>
          </w:p>
          <w:p>
            <w:pPr>
              <w:spacing w:before="0" w:after="0"/>
            </w:pPr>
            <w:r>
              <w:rPr>
                <w:i/>
                <w:color w:val="5B6B78"/>
                <w:sz w:val="16"/>
                <w:szCs w:val="16"/>
              </w:rPr>
              <w:t xml:space="preserve">Keep on file: Bank statements, lender NTN</w:t>
            </w:r>
          </w:p>
        </w:tc>
      </w:tr>
      <w:tr>
        <w:trPr>
          <w:cantSplit/>
        </w:trPr>
        <w:tc>
          <w:tcPr>
            <w:tcW w:w="700" w:type="dxa"/>
            <w:vAlign w:val="top"/>
          </w:tcPr>
          <w:p>
            <w:pPr>
              <w:spacing w:before="0" w:after="0"/>
            </w:pPr>
            <w:r>
              <w:rPr>
                <w:sz w:val="18"/>
                <w:szCs w:val="18"/>
              </w:rPr>
              <w:t xml:space="preserve">5.1</w:t>
            </w:r>
          </w:p>
        </w:tc>
        <w:tc>
          <w:tcPr>
            <w:tcW w:w="8800" w:type="dxa"/>
            <w:vAlign w:val="top"/>
          </w:tcPr>
          <w:p>
            <w:pPr>
              <w:spacing w:before="0" w:after="0"/>
            </w:pPr>
            <w:r>
              <w:rPr>
                <w:sz w:val="18"/>
                <w:szCs w:val="18"/>
              </w:rPr>
              <w:t xml:space="preserve">Were all loans, advances, share deposits and gifts received through banking channel / digital means from NTN holders?</w:t>
            </w:r>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700" w:type="dxa"/>
            <w:shd w:val="clear" w:color="auto" w:fill="FFFDF0"/>
            <w:vAlign w:val="center"/>
          </w:tcPr>
          <w:p>
            <w:pPr>
              <w:spacing w:before="0" w:after="0"/>
              <w:jc w:val="center"/>
            </w:pPr>
            <w:sdt>
              <w:sdtPr>
                <w14:checkbox>
                  <w14:checked w14:val="0"/>
                  <w14:checkedState w14:val="2612" w14:font="MS Gothic"/>
                  <w14:uncheckedState w14:val="2610" w14:font="MS Gothic"/>
                </w14:checkbox>
              </w:sdtPr>
              <w:sdtContent>
                <w:r>
                  <w:rPr>
                    <w:rFonts w:ascii="MS Gothic" w:eastAsia="MS Gothic" w:hAnsi="MS Gothic" w:hint="eastAsia"/>
                    <w:sz w:val="24"/>
                  </w:rPr>
                  <w:t>☐</w:t>
                </w:r>
              </w:sdtContent>
            </w:sdt>
          </w:p>
        </w:tc>
        <w:tc>
          <w:tcPr>
            <w:tcW w:w="3798" w:type="dxa"/>
            <w:vAlign w:val="top"/>
          </w:tcPr>
          <w:p>
            <w:pPr>
              <w:spacing w:before="0" w:after="0"/>
            </w:pPr>
            <w:r>
              <w:rPr>
                <w:sz w:val="18"/>
                <w:szCs w:val="18"/>
              </w:rPr>
              <w:t xml:space="preserve"/>
            </w:r>
          </w:p>
        </w:tc>
      </w:tr>
    </w:tbl>
    <w:p>
      <w:pPr>
        <w:spacing w:before="0" w:after="200"/>
      </w:pPr>
      <w:r>
        <w:t xml:space="preserve"/>
      </w:r>
    </w:p>
    <w:p>
      <w:pPr>
        <w:spacing w:before="0" w:after="240"/>
      </w:pPr>
      <w:r>
        <w:rPr>
          <w:b/>
          <w:sz w:val="19"/>
          <w:szCs w:val="19"/>
        </w:rPr>
        <w:t xml:space="preserve">Conclusion: all "No" answers resolved or the related deduction reduced?   Yes ☐   No ☐</w:t>
      </w:r>
    </w:p>
    <w:p>
      <w:pPr>
        <w:spacing w:before="0" w:after="240"/>
      </w:pPr>
      <w:r>
        <w:rPr>
          <w:sz w:val="19"/>
          <w:szCs w:val="19"/>
        </w:rPr>
        <w:t xml:space="preserve">Prepared by: ____________________   Date: __________          Reviewed by: ____________________   Date: __________</w:t>
      </w:r>
    </w:p>
    <w:p>
      <w:pPr>
        <w:spacing w:before="0" w:after="40"/>
      </w:pPr>
      <w:r>
        <w:rPr>
          <w:i/>
          <w:color w:val="5B6B78"/>
          <w:sz w:val="15"/>
          <w:szCs w:val="15"/>
        </w:rPr>
        <w:t xml:space="preserve">Disclaimer: This checklist is a helper tool only and does not constitute legal or tax advice. Verify each point against the Income Tax Ordinance, 2001, the Income Tax Rules, 2002 and FBR circulars, and consult your tax advisor before acting.</w:t>
      </w:r>
    </w:p>
    <w:p>
      <w:pPr>
        <w:spacing w:before="0" w:after="0"/>
      </w:pPr>
      <w:r>
        <w:rPr>
          <w:i/>
          <w:color w:val="5B6B78"/>
          <w:sz w:val="15"/>
          <w:szCs w:val="15"/>
        </w:rPr>
        <w:t xml:space="preserve">Generated 26 Oct 2026 by the Allowable Deductions Helper.</w:t>
      </w:r>
    </w:p>
    <w:sectPr>
      <w:footerReference w:type="default" r:id="rIdFooter"/>
      <w:pgSz w:w="16838" w:h="11906" w:orient="landscape"/>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14="http://schemas.microsoft.com/office/word/2010/wordml" xmlns:mc="http://schemas.openxmlformats.org/markup-compatibility/2006" mc:Ignorable="w14">
  <w:p>
    <w:pPr>
      <w:tabs>
        <w:tab w:val="right" w:pos="15398"/>
      </w:tabs>
    </w:pPr>
    <w:r>
      <w:rPr>
        <w:color w:val="5B6B78"/>
        <w:sz w:val="16"/>
        <w:szCs w:val="16"/>
      </w:rPr>
      <w:t xml:space="preserve">Income from Other Sources - allowable deductions checklist</w:t>
    </w:r>
    <w:r>
      <w:tab/>
    </w:r>
    <w:r>
      <w:rPr>
        <w:sz w:val="16"/>
        <w:szCs w:val="16"/>
      </w:rPr>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szCs w:val="16"/>
      </w:rPr>
      <w:t xml:space="preserve"> of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styles.xml><?xml version="1.0" encoding="utf-8"?>
<w:styles xmlns:w="http://schemas.openxmlformats.org/wordprocessingml/2006/main">
  <w:docDefaults>
    <w:rPrDefault>
      <w:rPr>
        <w:rFonts w:ascii="Arial" w:hAnsi="Arial" w:eastAsia="Arial" w:cs="Arial"/>
        <w:sz w:val="20"/>
        <w:szCs w:val="20"/>
        <w:color w:val="1F2D3A"/>
      </w:rPr>
    </w:rPrDefault>
    <w:pPrDefault>
      <w:pPr>
        <w:spacing w:after="0" w:line="252" w:lineRule="auto"/>
      </w:pPr>
    </w:pPrDefault>
  </w:docDefaults>
  <w:style w:type="paragraph" w:default="1" w:styleId="Normal">
    <w:name w:val="Normal"/>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Compliance Checklist - Allowable Deductions - Income from Other Sources</dc:title>
  <dc:creator>Allowable Deductions Helper</dc:creator>
</cp:coreProperties>
</file>